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>The Story of Redemption: Exodus 1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7:8-16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We learned that the animosity between the Israelites and the Amalekites went as far back as Jacob and Esau (read Genesis 25:19-34).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Have you ever seen or been a part of sin or animosity that stretched back generations?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 verse 9 we see Moses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staff again referred to as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staff of God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Do you think there may be equivalent items in existence today?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Moses grew weary holding up his hands, and was literally supported by two of those close to him. What does this tell us abo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ut Christian community in times of struggle?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does this same instance teach us about the need for support in the lives of our spiritual leaders? Is there some way that you can accomplish this?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If the Israelites won the battle when Moses raised the staff, and lost when his hands came down, did those soldiers who died have free will?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God deemed the Amalekites worthy of being utterly blotted out. In what way do you find our nation to deserve and/or not deserve the same judgement?</w:t>
      </w:r>
    </w:p>
    <w:p>
      <w:pPr>
        <w:pStyle w:val="Bod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The Israelites accepted slavery from the Egyptians, ran from the army of Pharaoh, and fought the Amalekites. How do you tend to respond to hostile situations in your own life?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