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Source Sans Pro" w:hAnsi="Source Sans Pro"/>
          <w:b w:val="1"/>
          <w:bCs w:val="1"/>
          <w:caps w:val="1"/>
        </w:rPr>
      </w:pPr>
    </w:p>
    <w:p>
      <w:pPr>
        <w:pStyle w:val="Body"/>
        <w:rPr>
          <w:rFonts w:ascii="Source Sans Pro" w:hAnsi="Source Sans Pro"/>
          <w:b w:val="1"/>
          <w:bCs w:val="1"/>
          <w:caps w:val="1"/>
        </w:rPr>
      </w:pP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  <w:r>
        <w:rPr>
          <w:rFonts w:ascii="Montserrat Semi Bold" w:hAnsi="Montserrat Semi Bold"/>
          <w:caps w:val="1"/>
          <w:rtl w:val="0"/>
          <w:lang w:val="en-US"/>
        </w:rPr>
        <w:t>Fellowship of the King:  Philippians 2:1-4</w:t>
      </w:r>
    </w:p>
    <w:p>
      <w:pPr>
        <w:pStyle w:val="Default"/>
        <w:rPr>
          <w:rFonts w:ascii="Montserrat Semi Bold" w:cs="Montserrat Semi Bold" w:hAnsi="Montserrat Semi Bold" w:eastAsia="Montserrat Semi Bold"/>
          <w:caps w:val="1"/>
        </w:rPr>
      </w:pP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>Thinking back on this week</w:t>
      </w:r>
      <w:r>
        <w:rPr>
          <w:spacing w:val="0"/>
          <w:rtl w:val="0"/>
          <w:lang w:val="en-US"/>
        </w:rPr>
        <w:t>’</w:t>
      </w:r>
      <w:r>
        <w:rPr>
          <w:spacing w:val="0"/>
          <w:rtl w:val="0"/>
          <w:lang w:val="en-US"/>
        </w:rPr>
        <w:t xml:space="preserve">s sermon, was there anything you heard for the first time or that caught your attention, challenged, or confused you? </w:t>
      </w: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Remembering that there were no chapter breaks in the original letter, what is the </w:t>
      </w:r>
      <w:r>
        <w:rPr>
          <w:spacing w:val="0"/>
          <w:rtl w:val="0"/>
          <w:lang w:val="en-US"/>
        </w:rPr>
        <w:t>“</w:t>
      </w:r>
      <w:r>
        <w:rPr>
          <w:spacing w:val="0"/>
          <w:rtl w:val="0"/>
          <w:lang w:val="en-US"/>
        </w:rPr>
        <w:t>therefore</w:t>
      </w:r>
      <w:r>
        <w:rPr>
          <w:spacing w:val="0"/>
          <w:rtl w:val="0"/>
          <w:lang w:val="en-US"/>
        </w:rPr>
        <w:t xml:space="preserve">” </w:t>
      </w:r>
      <w:r>
        <w:rPr>
          <w:spacing w:val="0"/>
          <w:rtl w:val="0"/>
          <w:lang w:val="en-US"/>
        </w:rPr>
        <w:t>there for in verse 1?</w:t>
      </w: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>Paul lists being of the same mind, maintaining the same love, being unified in spirit, and being intent on one purpose (vs. 2).  Make a case for which of these is most important.</w:t>
      </w: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>In what ways could a Christian pursue these good things wrongly, or just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pacing w:val="0"/>
          <w:rtl w:val="0"/>
          <w:lang w:val="en-US"/>
        </w:rPr>
        <w:t>ify wrong actions in the name of these things?</w:t>
      </w: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What is the relationship, if any, between humility and self-esteem? </w:t>
      </w: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 xml:space="preserve">Verse 4 calls us not to merely look out for our own interests, but for the interests of others </w:t>
      </w:r>
      <w:r>
        <w:rPr>
          <w:spacing w:val="0"/>
          <w:rtl w:val="0"/>
          <w:lang w:val="en-US"/>
        </w:rPr>
        <w:t xml:space="preserve">– </w:t>
      </w:r>
      <w:r>
        <w:rPr>
          <w:spacing w:val="0"/>
          <w:rtl w:val="0"/>
          <w:lang w:val="en-US"/>
        </w:rPr>
        <w:t>something we can only do if we know of a need.  How can we sharpen our ability to notice the needs of others?</w:t>
      </w:r>
    </w:p>
    <w:p>
      <w:pPr>
        <w:pStyle w:val="Body"/>
        <w:numPr>
          <w:ilvl w:val="0"/>
          <w:numId w:val="2"/>
        </w:numPr>
        <w:spacing w:after="940"/>
        <w:rPr>
          <w:spacing w:val="0"/>
          <w:lang w:val="en-US"/>
        </w:rPr>
      </w:pPr>
      <w:r>
        <w:rPr>
          <w:spacing w:val="0"/>
          <w:rtl w:val="0"/>
          <w:lang w:val="en-US"/>
        </w:rPr>
        <w:t>How do you know when self-care is being selfish and when self-care is a necessary component to the service of others? (Self-care examples: taking a bath, getting a massage, reading a book, or those things that fill you up and relax you.)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Montserrat Light">
    <w:charset w:val="00"/>
    <w:family w:val="roman"/>
    <w:pitch w:val="default"/>
  </w:font>
  <w:font w:name="Source Sans Pro">
    <w:charset w:val="00"/>
    <w:family w:val="roman"/>
    <w:pitch w:val="default"/>
  </w:font>
  <w:font w:name="Montserrat Semi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40" w:line="240" w:lineRule="auto"/>
      <w:ind w:left="0" w:right="0" w:firstLine="0"/>
      <w:jc w:val="left"/>
      <w:outlineLvl w:val="9"/>
    </w:pPr>
    <w:rPr>
      <w:rFonts w:ascii="Montserrat Light" w:cs="Arial Unicode MS" w:hAnsi="Montserrat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457200" marR="0" indent="-228600" algn="l" defTabSz="457200" rtl="0" fontAlgn="auto" latinLnBrk="0" hangingPunct="0">
          <a:lnSpc>
            <a:spcPct val="100000"/>
          </a:lnSpc>
          <a:spcBef>
            <a:spcPts val="700"/>
          </a:spcBef>
          <a:spcAft>
            <a:spcPts val="0"/>
          </a:spcAft>
          <a:buClrTx/>
          <a:buSzPct val="100000"/>
          <a:buFontTx/>
          <a:buAutoNum type="arabicPeriod" startAt="1"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Montserrat Light"/>
            <a:ea typeface="Montserrat Light"/>
            <a:cs typeface="Montserrat Light"/>
            <a:sym typeface="Montserrat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