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Source Sans Pro" w:hAnsi="Source Sans Pro"/>
          <w:b w:val="1"/>
          <w:bCs w:val="1"/>
          <w:caps w:val="1"/>
        </w:rPr>
      </w:pPr>
    </w:p>
    <w:p>
      <w:pPr>
        <w:pStyle w:val="Body"/>
        <w:rPr>
          <w:rFonts w:ascii="Source Sans Pro" w:hAnsi="Source Sans Pro"/>
          <w:b w:val="1"/>
          <w:bCs w:val="1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>Fellowship of the King:  Philippians 2:5-11</w:t>
      </w: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780"/>
        <w:rPr>
          <w:spacing w:val="0"/>
          <w:lang w:val="en-US"/>
        </w:rPr>
      </w:pPr>
      <w:r>
        <w:rPr>
          <w:spacing w:val="0"/>
          <w:rtl w:val="0"/>
          <w:lang w:val="en-US"/>
        </w:rPr>
        <w:t>Challenge yourself to find three other scriptural examples which describe an attribute of the essence of the Son throughout both the Old and New testaments.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 xml:space="preserve">Some argue that if God could have made the world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better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He would have.  How can this be the best of all possible worlds if it takes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suffering and death to be highly exalted? 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What heresy would occur if we took verses 6-8 to mean that the change 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hich occurred in Christ was to His essence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and why would that matter?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Christ emptying Himself can be challenging to understand. It is important to think of it as a paradox (two statements that seem not to be compatible because 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fully understand them) rather than a contradiction (two things which are mutually exclusive). What other paradoxes do you find in Scripture?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What things do you struggle to give up for the sake of others?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What parallels do you find in the truth of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passage and a healthy Christian marriage?</w:t>
      </w:r>
    </w:p>
    <w:p>
      <w:pPr>
        <w:pStyle w:val="Body"/>
        <w:numPr>
          <w:ilvl w:val="0"/>
          <w:numId w:val="2"/>
        </w:numPr>
        <w:spacing w:after="780"/>
        <w:rPr>
          <w:lang w:val="en-US"/>
        </w:rPr>
      </w:pPr>
      <w:r>
        <w:rPr>
          <w:rtl w:val="0"/>
          <w:lang w:val="en-US"/>
        </w:rPr>
        <w:t>Do verses 9-11 teach that everyone will be saved?  Why or why not?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Source Sans Pro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