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>Fellowship of the King:  Philippians 3:20-4:3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What makes a good earthy patriot? How is that similar or different to one who is devoted to their heavenly citizenship?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Verse 20 speaks of eagerly waiting for a Savior. As we head into the Advent season, read ahead through Philippians chapter 4 and see how many Christmas themes you can pick out in the chapter. Share one with your group.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More than just something to look forward to, how does keeping an eager focus on heaven 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elp us in this present life?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 xml:space="preserve">Paul identifies God as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Savior, the Lord Jesus Christ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(vs 20). What names or titles do you typically refer to God by, and how can broadening the way you refer to God add richness to your relationship with Him?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In 4:2 Paul offers correction to Euodia and Syntyche. Do you think this kind of correction happens too much or too little in the Church today, and why?</w:t>
      </w:r>
    </w:p>
    <w:p>
      <w:pPr>
        <w:pStyle w:val="Body"/>
        <w:numPr>
          <w:ilvl w:val="0"/>
          <w:numId w:val="2"/>
        </w:numPr>
        <w:spacing w:after="800"/>
        <w:rPr>
          <w:lang w:val="en-US"/>
        </w:rPr>
      </w:pPr>
      <w:r>
        <w:rPr>
          <w:rtl w:val="0"/>
          <w:lang w:val="en-US"/>
        </w:rPr>
        <w:t>Is there ever a point where a source of conflict is more important than unity between believers?</w:t>
      </w:r>
    </w:p>
    <w:p>
      <w:pPr>
        <w:pStyle w:val="Body"/>
        <w:spacing w:after="800"/>
      </w:pPr>
      <w:r>
        <w:rPr>
          <w:rtl w:val="0"/>
          <w:lang w:val="en-US"/>
        </w:rPr>
        <w:t>In the spirit of Thanksgiving, spend extra time this week in prayer with your group for the many blessings God has poured out for us.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