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J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ohn</w:t>
      </w:r>
      <w:r>
        <w:rPr>
          <w:rFonts w:ascii="Montserrat Light" w:hAnsi="Montserrat Light"/>
          <w:caps w:val="1"/>
          <w:rtl w:val="0"/>
          <w:lang w:val="en-US"/>
        </w:rPr>
        <w:t xml:space="preserve"> </w:t>
      </w:r>
      <w:r>
        <w:rPr>
          <w:rFonts w:ascii="Montserrat Light" w:hAnsi="Montserrat Light"/>
          <w:caps w:val="1"/>
          <w:rtl w:val="0"/>
          <w:lang w:val="en-US"/>
        </w:rPr>
        <w:t>3:1-8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 xml:space="preserve">Reference other passages to write down three facts about Pharisees.  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Do you think Nicodemus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status in life was a help or a hindrance in him coming to Christ? Why?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In your experience, do the people you meet outside the Chu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rch today have a felt need for Christ? Why or why not?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 xml:space="preserve">What made you open to hearing the Gospel? 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 xml:space="preserve">How does the way Jesus defines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Kingdom of God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likely differ from Nicodemus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preconceptions of it?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What kinds of things do people wrongly trust in for salvation?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What impact does Jesus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analogy of the workings of the Holy Spirit to the wind have on the way you evangelize? See, too, Ecclesiastes 11:5.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