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Montserrat Semi Bold" w:hAnsi="Montserrat Semi Bold"/>
          <w:caps w:val="1"/>
        </w:rPr>
      </w:pPr>
    </w:p>
    <w:p>
      <w:pPr>
        <w:pStyle w:val="Default"/>
        <w:rPr>
          <w:rFonts w:ascii="Montserrat Semi Bold" w:hAnsi="Montserrat Semi Bold"/>
          <w:caps w:val="1"/>
        </w:rPr>
      </w:pPr>
    </w:p>
    <w:p>
      <w:pPr>
        <w:pStyle w:val="Default"/>
        <w:rPr>
          <w:rFonts w:ascii="Montserrat Semi Bold" w:cs="Montserrat Semi Bold" w:hAnsi="Montserrat Semi Bold" w:eastAsia="Montserrat Semi Bold"/>
          <w:caps w:val="1"/>
        </w:rPr>
      </w:pPr>
      <w:r>
        <w:rPr>
          <w:rFonts w:ascii="Montserrat Semi Bold" w:hAnsi="Montserrat Semi Bold"/>
          <w:caps w:val="1"/>
          <w:rtl w:val="0"/>
          <w:lang w:val="en-US"/>
        </w:rPr>
        <w:t xml:space="preserve">The Gospel Of John:  </w:t>
      </w:r>
      <w:r>
        <w:rPr>
          <w:rFonts w:ascii="Montserrat Light" w:hAnsi="Montserrat Light"/>
          <w:caps w:val="0"/>
          <w:smallCaps w:val="0"/>
          <w:rtl w:val="0"/>
          <w:lang w:val="en-US"/>
        </w:rPr>
        <w:t>J</w:t>
      </w:r>
      <w:r>
        <w:rPr>
          <w:rFonts w:ascii="Montserrat Light" w:hAnsi="Montserrat Light"/>
          <w:caps w:val="0"/>
          <w:smallCaps w:val="0"/>
          <w:rtl w:val="0"/>
          <w:lang w:val="en-US"/>
        </w:rPr>
        <w:t>ohn</w:t>
      </w:r>
      <w:r>
        <w:rPr>
          <w:rFonts w:ascii="Montserrat Light" w:hAnsi="Montserrat Light"/>
          <w:caps w:val="1"/>
          <w:rtl w:val="0"/>
          <w:lang w:val="en-US"/>
        </w:rPr>
        <w:t xml:space="preserve"> </w:t>
      </w:r>
      <w:r>
        <w:rPr>
          <w:rFonts w:ascii="Montserrat Light" w:hAnsi="Montserrat Light"/>
          <w:caps w:val="1"/>
          <w:rtl w:val="0"/>
          <w:lang w:val="en-US"/>
        </w:rPr>
        <w:t>3:31-36</w:t>
      </w:r>
    </w:p>
    <w:p>
      <w:pPr>
        <w:pStyle w:val="Default"/>
        <w:numPr>
          <w:ilvl w:val="0"/>
          <w:numId w:val="1"/>
        </w:numPr>
        <w:spacing w:after="20"/>
        <w:rPr>
          <w:lang w:val="en-US"/>
        </w:rPr>
      </w:pPr>
      <w:r>
        <w:rPr>
          <w:rtl w:val="0"/>
          <w:lang w:val="en-US"/>
        </w:rPr>
        <w:t>Thinking back on this week</w:t>
      </w:r>
      <w:r>
        <w:rPr>
          <w:rtl w:val="0"/>
          <w:lang w:val="en-US"/>
        </w:rPr>
        <w:t>’</w:t>
      </w:r>
      <w:r>
        <w:rPr>
          <w:rtl w:val="0"/>
          <w:lang w:val="en-US"/>
        </w:rPr>
        <w:t xml:space="preserve">s sermon, was there anything you heard for the first time or that caught your attention, challenged, or confused you? </w:t>
      </w:r>
      <w:r>
        <w:rPr>
          <w:rFonts w:ascii="Arial Unicode MS" w:cs="Arial Unicode MS" w:hAnsi="Arial Unicode MS" w:eastAsia="Arial Unicode MS"/>
          <w:b w:val="0"/>
          <w:bCs w:val="0"/>
          <w:i w:val="0"/>
          <w:iCs w:val="0"/>
        </w:rPr>
        <w:br w:type="textWrapping"/>
      </w:r>
    </w:p>
    <w:p>
      <w:pPr>
        <w:pStyle w:val="Default"/>
        <w:numPr>
          <w:ilvl w:val="0"/>
          <w:numId w:val="1"/>
        </w:numPr>
        <w:spacing w:after="20"/>
        <w:rPr>
          <w:lang w:val="en-US"/>
        </w:rPr>
      </w:pPr>
      <w:r>
        <w:rPr>
          <w:rtl w:val="0"/>
          <w:lang w:val="en-US"/>
        </w:rPr>
        <w:t xml:space="preserve">Look back through what we have studied in the book of John so far and challenge yourself to write down two claims Jesus has made thus far which He has </w:t>
      </w:r>
      <w:r>
        <w:rPr>
          <w:rtl w:val="0"/>
          <w:lang w:val="en-US"/>
        </w:rPr>
        <w:t>“</w:t>
      </w:r>
      <w:r>
        <w:rPr>
          <w:rtl w:val="0"/>
          <w:lang w:val="en-US"/>
        </w:rPr>
        <w:t>testified</w:t>
      </w:r>
      <w:r>
        <w:rPr>
          <w:rtl w:val="0"/>
          <w:lang w:val="en-US"/>
        </w:rPr>
        <w:t xml:space="preserve">” </w:t>
      </w:r>
      <w:r>
        <w:rPr>
          <w:rtl w:val="0"/>
          <w:lang w:val="en-US"/>
        </w:rPr>
        <w:t>(vs 32).</w:t>
      </w:r>
      <w:r>
        <w:rPr>
          <w:rFonts w:ascii="Arial Unicode MS" w:cs="Arial Unicode MS" w:hAnsi="Arial Unicode MS" w:eastAsia="Arial Unicode MS"/>
          <w:b w:val="0"/>
          <w:bCs w:val="0"/>
          <w:i w:val="0"/>
          <w:iCs w:val="0"/>
        </w:rPr>
        <w:br w:type="textWrapping"/>
      </w:r>
    </w:p>
    <w:p>
      <w:pPr>
        <w:pStyle w:val="Default"/>
        <w:numPr>
          <w:ilvl w:val="0"/>
          <w:numId w:val="1"/>
        </w:numPr>
        <w:spacing w:after="20"/>
        <w:rPr>
          <w:lang w:val="en-US"/>
        </w:rPr>
      </w:pPr>
      <w:r>
        <w:rPr>
          <w:rtl w:val="0"/>
          <w:lang w:val="en-US"/>
        </w:rPr>
        <w:t>What does the account of Matthew (3:17) or Mark (9:7) add to the claim of John the Baptist in verse 34?</w:t>
      </w:r>
    </w:p>
    <w:p>
      <w:pPr>
        <w:pStyle w:val="Default"/>
        <w:spacing w:after="20"/>
        <w:ind w:left="720" w:firstLine="0"/>
      </w:pPr>
    </w:p>
    <w:p>
      <w:pPr>
        <w:pStyle w:val="Default"/>
        <w:numPr>
          <w:ilvl w:val="0"/>
          <w:numId w:val="1"/>
        </w:numPr>
        <w:spacing w:after="20"/>
        <w:rPr>
          <w:lang w:val="en-US"/>
        </w:rPr>
      </w:pPr>
      <w:r>
        <w:rPr>
          <w:rtl w:val="0"/>
          <w:lang w:val="en-US"/>
        </w:rPr>
        <w:t>Is the statement in verse 34 just as true for all believers as it is for Jesus? Why or why not?</w:t>
      </w:r>
    </w:p>
    <w:p>
      <w:pPr>
        <w:pStyle w:val="Default"/>
        <w:spacing w:after="20"/>
        <w:ind w:left="720" w:firstLine="0"/>
      </w:pPr>
    </w:p>
    <w:p>
      <w:pPr>
        <w:pStyle w:val="Default"/>
        <w:numPr>
          <w:ilvl w:val="0"/>
          <w:numId w:val="1"/>
        </w:numPr>
        <w:spacing w:after="20"/>
        <w:rPr>
          <w:lang w:val="en-US"/>
        </w:rPr>
      </w:pPr>
      <w:r>
        <w:rPr>
          <w:rtl w:val="0"/>
          <w:lang w:val="en-US"/>
        </w:rPr>
        <w:t xml:space="preserve">When we think of </w:t>
      </w:r>
      <w:r>
        <w:rPr>
          <w:rtl w:val="0"/>
          <w:lang w:val="en-US"/>
        </w:rPr>
        <w:t>“</w:t>
      </w:r>
      <w:r>
        <w:rPr>
          <w:rtl w:val="0"/>
          <w:lang w:val="en-US"/>
        </w:rPr>
        <w:t>wrath</w:t>
      </w:r>
      <w:r>
        <w:rPr>
          <w:rtl w:val="0"/>
          <w:lang w:val="en-US"/>
        </w:rPr>
        <w:t xml:space="preserve">” </w:t>
      </w:r>
      <w:r>
        <w:rPr>
          <w:rtl w:val="0"/>
          <w:lang w:val="en-US"/>
        </w:rPr>
        <w:t>we typically think of a sudden outburst of emotion. Do you think this is what is implied in verse 36? Why or why not?</w:t>
      </w:r>
    </w:p>
    <w:p>
      <w:pPr>
        <w:pStyle w:val="Default"/>
        <w:spacing w:after="20"/>
        <w:ind w:left="720" w:firstLine="0"/>
      </w:pPr>
    </w:p>
    <w:p>
      <w:pPr>
        <w:pStyle w:val="Default"/>
        <w:numPr>
          <w:ilvl w:val="0"/>
          <w:numId w:val="1"/>
        </w:numPr>
        <w:spacing w:after="20"/>
        <w:rPr>
          <w:lang w:val="en-US"/>
        </w:rPr>
      </w:pPr>
      <w:r>
        <w:rPr>
          <w:rtl w:val="0"/>
          <w:lang w:val="en-US"/>
        </w:rPr>
        <w:t>What is the relationship between belief and obedience in verse 36? What impact does that have on the way you share the Gosp</w:t>
      </w:r>
      <w:r>
        <w:drawing>
          <wp:anchor distT="152400" distB="152400" distL="152400" distR="152400" simplePos="0" relativeHeight="251659264" behindDoc="0" locked="0" layoutInCell="1" allowOverlap="1">
            <wp:simplePos x="0" y="0"/>
            <wp:positionH relativeFrom="page">
              <wp:posOffset>2696087</wp:posOffset>
            </wp:positionH>
            <wp:positionV relativeFrom="page">
              <wp:posOffset>394424</wp:posOffset>
            </wp:positionV>
            <wp:extent cx="2388362" cy="51997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7-10-12 at 1.06.56 PM.png"/>
                    <pic:cNvPicPr>
                      <a:picLocks noChangeAspect="1"/>
                    </pic:cNvPicPr>
                  </pic:nvPicPr>
                  <pic:blipFill>
                    <a:blip r:embed="rId4">
                      <a:extLst/>
                    </a:blip>
                    <a:stretch>
                      <a:fillRect/>
                    </a:stretch>
                  </pic:blipFill>
                  <pic:spPr>
                    <a:xfrm>
                      <a:off x="0" y="0"/>
                      <a:ext cx="2388362" cy="519976"/>
                    </a:xfrm>
                    <a:prstGeom prst="rect">
                      <a:avLst/>
                    </a:prstGeom>
                    <a:ln w="12700" cap="flat">
                      <a:noFill/>
                      <a:miter lim="400000"/>
                    </a:ln>
                    <a:effectLst/>
                  </pic:spPr>
                </pic:pic>
              </a:graphicData>
            </a:graphic>
          </wp:anchor>
        </w:drawing>
      </w:r>
      <w:r>
        <w:rPr>
          <w:rtl w:val="0"/>
          <w:lang w:val="en-US"/>
        </w:rPr>
        <w:t>el?</w:t>
      </w:r>
    </w:p>
    <w:p>
      <w:pPr>
        <w:pStyle w:val="Default"/>
        <w:spacing w:after="20"/>
        <w:ind w:left="720" w:firstLine="0"/>
      </w:pPr>
    </w:p>
    <w:p>
      <w:pPr>
        <w:pStyle w:val="Default"/>
        <w:numPr>
          <w:ilvl w:val="0"/>
          <w:numId w:val="1"/>
        </w:numPr>
        <w:spacing w:after="20"/>
        <w:rPr>
          <w:lang w:val="en-US"/>
        </w:rPr>
      </w:pPr>
      <w:r>
        <w:rPr>
          <w:rtl w:val="0"/>
          <w:lang w:val="en-US"/>
        </w:rPr>
        <w:t xml:space="preserve">Are people always and forever either in a state of eternal wrath or eternal life, or is there a third </w:t>
      </w:r>
      <w:r>
        <w:rPr>
          <w:rtl w:val="0"/>
          <w:lang w:val="en-US"/>
        </w:rPr>
        <w:t>‘</w:t>
      </w:r>
      <w:r>
        <w:rPr>
          <w:rtl w:val="0"/>
          <w:lang w:val="en-US"/>
        </w:rPr>
        <w:t>neutral</w:t>
      </w:r>
      <w:r>
        <w:rPr>
          <w:rtl w:val="0"/>
          <w:lang w:val="en-US"/>
        </w:rPr>
        <w:t xml:space="preserve">’ </w:t>
      </w:r>
      <w:r>
        <w:rPr>
          <w:rtl w:val="0"/>
          <w:lang w:val="en-US"/>
        </w:rPr>
        <w:t xml:space="preserve">state that is possible to be in before someone believed or was disobedient? </w:t>
      </w:r>
      <w:r>
        <w:rPr>
          <w:rFonts w:ascii="Arial Unicode MS" w:cs="Arial Unicode MS" w:hAnsi="Arial Unicode MS" w:eastAsia="Arial Unicode MS"/>
          <w:b w:val="0"/>
          <w:bCs w:val="0"/>
          <w:i w:val="0"/>
          <w:iCs w:val="0"/>
        </w:rPr>
        <w:br w:type="textWrapping"/>
      </w:r>
    </w:p>
    <w:p>
      <w:pPr>
        <w:pStyle w:val="Default"/>
        <w:numPr>
          <w:ilvl w:val="0"/>
          <w:numId w:val="1"/>
        </w:numPr>
        <w:spacing w:after="20"/>
        <w:rPr>
          <w:spacing w:val="0"/>
          <w:lang w:val="en-US"/>
        </w:rPr>
      </w:pPr>
      <w:r>
        <w:rPr>
          <w:spacing w:val="0"/>
          <w:rtl w:val="0"/>
          <w:lang w:val="en-US"/>
        </w:rPr>
        <w:t>Can a person who believes also face God</w:t>
      </w:r>
      <w:r>
        <w:rPr>
          <w:spacing w:val="0"/>
          <w:rtl w:val="0"/>
          <w:lang w:val="en-US"/>
        </w:rPr>
        <w:t>’</w:t>
      </w:r>
      <w:r>
        <w:rPr>
          <w:spacing w:val="0"/>
          <w:rtl w:val="0"/>
          <w:lang w:val="en-US"/>
        </w:rPr>
        <w:t>s wrath for disobedience? How, or why?</w:t>
      </w:r>
    </w:p>
    <w:p>
      <w:pPr>
        <w:pStyle w:val="Default"/>
        <w:spacing w:after="20"/>
        <w:ind w:left="720" w:firstLine="0"/>
      </w:pPr>
    </w:p>
    <w:p>
      <w:pPr>
        <w:pStyle w:val="Default"/>
        <w:numPr>
          <w:ilvl w:val="0"/>
          <w:numId w:val="1"/>
        </w:numPr>
        <w:spacing w:after="20"/>
        <w:rPr>
          <w:spacing w:val="0"/>
          <w:lang w:val="en-US"/>
        </w:rPr>
      </w:pPr>
      <w:r>
        <w:rPr>
          <w:spacing w:val="0"/>
          <w:rtl w:val="0"/>
          <w:lang w:val="en-US"/>
        </w:rPr>
        <w:t>Have you ever known someone who professes belief in Christ, but later renounced their face and lived in disobedience? How does verse 36 apply to them?</w:t>
      </w:r>
    </w:p>
    <w:p>
      <w:pPr>
        <w:pStyle w:val="Default"/>
        <w:spacing w:after="20"/>
        <w:ind w:left="720" w:firstLine="0"/>
      </w:pPr>
    </w:p>
    <w:p>
      <w:pPr>
        <w:pStyle w:val="Default"/>
        <w:numPr>
          <w:ilvl w:val="0"/>
          <w:numId w:val="1"/>
        </w:numPr>
        <w:spacing w:after="20"/>
        <w:rPr>
          <w:lang w:val="en-US"/>
        </w:rPr>
      </w:pPr>
      <w:r>
        <w:rPr>
          <w:rtl w:val="0"/>
          <w:lang w:val="en-US"/>
        </w:rPr>
        <w:t xml:space="preserve">This next week will contain both Good Friday and Easter. How does this passage relate to the events of those days, and how can you use those truths to prepare your heart for their observance? </w:t>
      </w:r>
    </w:p>
    <w:p>
      <w:pPr>
        <w:pStyle w:val="Body"/>
        <w:spacing w:after="20"/>
      </w:pPr>
    </w:p>
    <w:p>
      <w:pPr>
        <w:pStyle w:val="Body"/>
        <w:spacing w:after="20"/>
      </w:pPr>
      <w:r>
        <w:rPr>
          <w:rtl w:val="0"/>
          <w:lang w:val="en-US"/>
        </w:rPr>
        <w:t>Make sure to take time this week to contact your fellow Life Group members.  As our physical separation increases it becomes all the more important to be there for one another spiritually and emotionally.</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Montserrat Light">
    <w:charset w:val="00"/>
    <w:family w:val="roman"/>
    <w:pitch w:val="default"/>
  </w:font>
  <w:font w:name="Montserrat Semi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3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11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183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5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32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39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47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543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61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140" w:line="240" w:lineRule="auto"/>
      <w:ind w:left="0" w:right="0" w:firstLine="0"/>
      <w:jc w:val="left"/>
      <w:outlineLvl w:val="9"/>
    </w:pPr>
    <w:rPr>
      <w:rFonts w:ascii="Montserrat Light" w:cs="Arial Unicode MS" w:hAnsi="Montserrat Light"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780" w:line="240" w:lineRule="auto"/>
      <w:ind w:left="0" w:right="0" w:firstLine="0"/>
      <w:jc w:val="left"/>
      <w:outlineLvl w:val="9"/>
    </w:pPr>
    <w:rPr>
      <w:rFonts w:ascii="Montserrat Light" w:cs="Montserrat Light" w:hAnsi="Montserrat Light" w:eastAsia="Montserrat Light"/>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457200" marR="0" indent="-228600" algn="l" defTabSz="457200" rtl="0" fontAlgn="auto" latinLnBrk="0" hangingPunct="0">
          <a:lnSpc>
            <a:spcPct val="100000"/>
          </a:lnSpc>
          <a:spcBef>
            <a:spcPts val="3900"/>
          </a:spcBef>
          <a:spcAft>
            <a:spcPts val="0"/>
          </a:spcAft>
          <a:buClrTx/>
          <a:buSzPct val="100000"/>
          <a:buFontTx/>
          <a:buAutoNum type="arabicPeriod" startAt="1"/>
          <a:tabLst/>
          <a:defRPr b="0" baseline="0" cap="none" i="0" spc="0" strike="noStrike" sz="1200" u="none" kumimoji="0" normalizeH="0">
            <a:ln>
              <a:noFill/>
            </a:ln>
            <a:solidFill>
              <a:srgbClr val="000000"/>
            </a:solidFill>
            <a:effectLst/>
            <a:uFill>
              <a:solidFill>
                <a:srgbClr val="000000"/>
              </a:solidFill>
            </a:uFill>
            <a:latin typeface="Montserrat Light"/>
            <a:ea typeface="Montserrat Light"/>
            <a:cs typeface="Montserrat Light"/>
            <a:sym typeface="Montserrat Ligh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