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John 20:1-18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What Easter traditions (religious or secular) do you observe? Why are they meaningful to you?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Are there new traditions you could begin in your celebration of Easter based on the events of the original Easter described in John 20?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Why is the resurrection of Christ so 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mportant to our faith? See 1 Corinthians 15:12-19.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What evidence do we have today that the resurrection of Christ was real?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1 Peter 1:4 describes what our inheritance in Christ will NOT be (perishable, defiled, fading). What does Scripture say it WILL be like?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Is it possible to be a Christian and not believe in the resurrection of Jesus? Why or why not?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How can Christians use the way our secular culture celebrates Easter as a bridge to the Gospel?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