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 xml:space="preserve">John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5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: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25-30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 xml:space="preserve">Who are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dead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verse 25?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>How would you explain the accuracy of Jesus calling Himself both the Son of God (vs 25) and the Son of Man (vs 27) to someone unfamiliar with Scripture?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 xml:space="preserve">What does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resurrection of life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resurrection of judgment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29) look like? Are there elements of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these that are present realities for us today?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>Does the Bible allow for the belief that existence simply ends with death? How is that good news?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>How would you respond to someone who used John 5:29 to teach good works as the means of salvation?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 xml:space="preserve">From verse 29, how do we know, specifically, what deeds are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good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evil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, and know when we have done enough of one or the other to merit life or judgment?</w:t>
      </w:r>
    </w:p>
    <w:p>
      <w:pPr>
        <w:pStyle w:val="Body"/>
        <w:numPr>
          <w:ilvl w:val="0"/>
          <w:numId w:val="1"/>
        </w:numPr>
        <w:spacing w:after="1020"/>
        <w:rPr>
          <w:lang w:val="en-US"/>
        </w:rPr>
      </w:pPr>
      <w:r>
        <w:rPr>
          <w:rtl w:val="0"/>
          <w:lang w:val="en-US"/>
        </w:rPr>
        <w:t>In your experience, is the judgment of God just (vs 30)? Why or why not?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