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Body"/>
        <w:bidi w:val="0"/>
        <w:spacing w:after="0" w:line="20" w:lineRule="atLeast"/>
        <w:ind w:left="0" w:right="0" w:firstLine="360"/>
        <w:jc w:val="left"/>
        <w:rPr>
          <w:rFonts w:ascii="Montserrat Light" w:cs="Montserrat Light" w:hAnsi="Montserrat Light" w:eastAsia="Montserrat Light"/>
          <w:rtl w:val="0"/>
        </w:rPr>
      </w:pPr>
      <w:r>
        <w:rPr>
          <w:rFonts w:ascii="Montserrat Semi Bold" w:hAnsi="Montserrat Semi Bold"/>
          <w:rtl w:val="0"/>
          <w:lang w:val="en-US"/>
        </w:rPr>
        <w:t>THE GOSPEL OF JOHN:</w:t>
      </w:r>
      <w:r>
        <w:rPr>
          <w:rFonts w:ascii="Montserrat-Medium" w:hAnsi="Montserrat-Medium"/>
          <w:rtl w:val="0"/>
          <w:lang w:val="en-US"/>
        </w:rPr>
        <w:t xml:space="preserve"> </w:t>
      </w:r>
      <w:r>
        <w:rPr>
          <w:rFonts w:ascii="Montserrat Light" w:hAnsi="Montserrat Light"/>
          <w:rtl w:val="0"/>
          <w:lang w:val="de-DE"/>
        </w:rPr>
        <w:t xml:space="preserve">John </w:t>
      </w:r>
      <w:r>
        <w:rPr>
          <w:rFonts w:ascii="Montserrat Light" w:hAnsi="Montserrat Light"/>
          <w:rtl w:val="0"/>
          <w:lang w:val="en-US"/>
        </w:rPr>
        <w:t>6:22-40</w:t>
      </w:r>
    </w:p>
    <w:p>
      <w:pPr>
        <w:pStyle w:val="Body"/>
        <w:bidi w:val="0"/>
        <w:spacing w:after="0" w:line="280" w:lineRule="atLeast"/>
        <w:ind w:left="0" w:right="0" w:firstLine="36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Body"/>
        <w:spacing w:after="0"/>
      </w:pPr>
    </w:p>
    <w:p>
      <w:pPr>
        <w:pStyle w:val="Body"/>
        <w:spacing w:after="0"/>
        <w:rPr>
          <w:sz w:val="34"/>
          <w:szCs w:val="34"/>
        </w:rPr>
      </w:pPr>
    </w:p>
    <w:p>
      <w:pPr>
        <w:pStyle w:val="Default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Have you ever asked God for a sign?  What happened?</w:t>
      </w:r>
    </w:p>
    <w:p>
      <w:pPr>
        <w:pStyle w:val="Body"/>
        <w:spacing w:after="0"/>
      </w:pPr>
    </w:p>
    <w:p>
      <w:pPr>
        <w:pStyle w:val="Body"/>
        <w:spacing w:after="0"/>
        <w:rPr>
          <w:sz w:val="34"/>
          <w:szCs w:val="34"/>
        </w:rPr>
      </w:pPr>
    </w:p>
    <w:p>
      <w:pPr>
        <w:pStyle w:val="Default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From verse 28, can a right action ever be the wrong thing to do?  Why, or why not?</w:t>
      </w:r>
    </w:p>
    <w:p>
      <w:pPr>
        <w:pStyle w:val="Body"/>
        <w:spacing w:after="0"/>
      </w:pPr>
    </w:p>
    <w:p>
      <w:pPr>
        <w:pStyle w:val="Body"/>
        <w:spacing w:after="0"/>
        <w:rPr>
          <w:sz w:val="34"/>
          <w:szCs w:val="34"/>
        </w:rPr>
      </w:pPr>
    </w:p>
    <w:p>
      <w:pPr>
        <w:pStyle w:val="Default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If the work of God is to believe (vs 29), how is, or is not, the act of believing itself a work, such that salvation depends at least in part on us?  </w:t>
      </w:r>
    </w:p>
    <w:p>
      <w:pPr>
        <w:pStyle w:val="Body"/>
        <w:spacing w:after="0"/>
      </w:pPr>
    </w:p>
    <w:p>
      <w:pPr>
        <w:pStyle w:val="Body"/>
        <w:spacing w:after="0"/>
        <w:rPr>
          <w:sz w:val="34"/>
          <w:szCs w:val="34"/>
        </w:rPr>
      </w:pPr>
    </w:p>
    <w:p>
      <w:pPr>
        <w:pStyle w:val="Default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Would you rather have a child who obeyed everything you told them to do, or one who placed complete trust in you?  From this passage, what can we say that God wants from His ch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ildren? </w:t>
      </w:r>
    </w:p>
    <w:p>
      <w:pPr>
        <w:pStyle w:val="Body"/>
        <w:spacing w:after="0"/>
      </w:pPr>
    </w:p>
    <w:p>
      <w:pPr>
        <w:pStyle w:val="Body"/>
        <w:spacing w:after="0"/>
        <w:rPr>
          <w:sz w:val="34"/>
          <w:szCs w:val="34"/>
        </w:rPr>
      </w:pPr>
    </w:p>
    <w:p>
      <w:pPr>
        <w:pStyle w:val="Default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In verse 31 the crowd likely references Psalm 105, verse 40.  Scanning that Psalm, in what way were the people misinterpreting or misapplying the text, if at all?</w:t>
      </w:r>
    </w:p>
    <w:p>
      <w:pPr>
        <w:pStyle w:val="Body"/>
        <w:spacing w:after="0"/>
      </w:pPr>
    </w:p>
    <w:p>
      <w:pPr>
        <w:pStyle w:val="Body"/>
        <w:spacing w:after="0"/>
        <w:rPr>
          <w:sz w:val="34"/>
          <w:szCs w:val="34"/>
        </w:rPr>
      </w:pPr>
    </w:p>
    <w:p>
      <w:pPr>
        <w:pStyle w:val="Default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In this passage, the people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immediate need blinded them to eternal truths.  Can you think of a time when a felt need distracted you from your relationship with God?  What about a time when a need deepened your relationship with God?  What did you learn through those events?</w:t>
      </w:r>
    </w:p>
    <w:p>
      <w:pPr>
        <w:pStyle w:val="Body"/>
        <w:spacing w:after="0"/>
      </w:pPr>
    </w:p>
    <w:p>
      <w:pPr>
        <w:pStyle w:val="Body"/>
        <w:spacing w:after="0"/>
        <w:rPr>
          <w:sz w:val="34"/>
          <w:szCs w:val="34"/>
        </w:rPr>
      </w:pPr>
    </w:p>
    <w:p>
      <w:pPr>
        <w:pStyle w:val="Default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The adage is never to use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never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or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always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, but verses 37 and 39 make two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all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statements about Jesus.  Are we to read those as meaning literally all, or as a figure of speech?  How do we know?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 Bold">
    <w:charset w:val="00"/>
    <w:family w:val="roman"/>
    <w:pitch w:val="default"/>
  </w:font>
  <w:font w:name="Montserrat Extra Bold">
    <w:charset w:val="00"/>
    <w:family w:val="roman"/>
    <w:pitch w:val="default"/>
  </w:font>
  <w:font w:name="Montserrat-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