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360"/>
        <w:jc w:val="left"/>
        <w:rPr>
          <w:rFonts w:ascii="Montserrat Light" w:cs="Montserrat Light" w:hAnsi="Montserrat Light" w:eastAsia="Montserrat Light"/>
          <w:rtl w:val="0"/>
        </w:rPr>
      </w:pPr>
      <w:r>
        <w:rPr>
          <w:rFonts w:ascii="Montserrat Semi Bold" w:hAnsi="Montserrat Semi Bold"/>
          <w:rtl w:val="0"/>
          <w:lang w:val="en-US"/>
        </w:rPr>
        <w:t>THE GOSPEL OF JOHN:</w:t>
      </w:r>
      <w:r>
        <w:rPr>
          <w:rFonts w:ascii="Montserrat-Medium" w:hAnsi="Montserrat-Medium"/>
          <w:rtl w:val="0"/>
          <w:lang w:val="en-US"/>
        </w:rPr>
        <w:t xml:space="preserve"> </w:t>
      </w:r>
      <w:r>
        <w:rPr>
          <w:rFonts w:ascii="Montserrat Light" w:hAnsi="Montserrat Light"/>
          <w:rtl w:val="0"/>
          <w:lang w:val="de-DE"/>
        </w:rPr>
        <w:t xml:space="preserve">John </w:t>
      </w:r>
      <w:r>
        <w:rPr>
          <w:rFonts w:ascii="Montserrat Light" w:hAnsi="Montserrat Light"/>
          <w:rtl w:val="0"/>
          <w:lang w:val="en-US"/>
        </w:rPr>
        <w:t>6:34-40</w:t>
      </w: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  <w:r>
        <w:rPr>
          <w:rtl w:val="0"/>
          <w:lang w:val="en-US"/>
        </w:rPr>
        <w:t> </w:t>
      </w: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 xml:space="preserve">In what way is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bread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 good analogy for eternal life? Where does that analogy fail?</w:t>
      </w: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>How does a Christian who rejects their faith fit with the truth of verse 37?</w:t>
      </w: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 xml:space="preserve">The adage is never to use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never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always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but verses 37 and 39 make two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statements about Jesus.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Are we to re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ad those as meaning literally all, or as a figure of speech?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How do we know?</w:t>
      </w: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>What would happen if the will of Jesus were different than the will of God (vs 38)?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Is that possible?</w:t>
      </w: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>Does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will always come to pass?</w:t>
      </w:r>
      <w:r>
        <w:rPr>
          <w:rtl w:val="0"/>
          <w:lang w:val="en-US"/>
        </w:rPr>
        <w:t> </w:t>
      </w: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>Can your actions ever contradict the will of God? If so, does this make your will greater than the will of God?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And if yes, does this mean that God can will us to sin?</w:t>
      </w: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spacing w:after="0" w:line="20" w:lineRule="atLeast"/>
        <w:ind w:left="360" w:firstLine="0"/>
      </w:pPr>
    </w:p>
    <w:p>
      <w:pPr>
        <w:pStyle w:val="Default"/>
        <w:numPr>
          <w:ilvl w:val="0"/>
          <w:numId w:val="2"/>
        </w:numPr>
        <w:spacing w:after="0" w:line="20" w:lineRule="atLeast"/>
        <w:rPr>
          <w:lang w:val="en-US"/>
        </w:rPr>
      </w:pPr>
      <w:r>
        <w:rPr>
          <w:rtl w:val="0"/>
          <w:lang w:val="en-US"/>
        </w:rPr>
        <w:t>What impact should the truth of this passage have on Christian evangelism?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  <w:font w:name="Montserrat Extra Bold">
    <w:charset w:val="00"/>
    <w:family w:val="roman"/>
    <w:pitch w:val="default"/>
  </w:font>
  <w:font w:name="Montserrat-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