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 Bold" w:hAnsi="Montserrat Semi Bold"/>
          <w:caps w:val="1"/>
        </w:rPr>
      </w:pPr>
    </w:p>
    <w:p>
      <w:pPr>
        <w:pStyle w:val="Body"/>
        <w:bidi w:val="0"/>
        <w:spacing w:after="0" w:line="20" w:lineRule="atLeast"/>
        <w:ind w:left="0" w:right="0" w:firstLine="0"/>
        <w:jc w:val="left"/>
        <w:rPr>
          <w:rFonts w:ascii="Montserrat Semi Bold" w:cs="Montserrat Semi Bold" w:hAnsi="Montserrat Semi Bold" w:eastAsia="Montserrat Semi Bold"/>
          <w:rtl w:val="0"/>
        </w:rPr>
      </w:pPr>
      <w:r>
        <w:rPr>
          <w:rFonts w:ascii="Montserrat Semi Bold" w:hAnsi="Montserrat Semi Bold"/>
          <w:rtl w:val="0"/>
          <w:lang w:val="en-US"/>
        </w:rPr>
        <w:t xml:space="preserve">THE GOSPEL OF JOHN: </w:t>
      </w:r>
      <w:r>
        <w:rPr>
          <w:rFonts w:ascii="Montserrat Semi Bold" w:hAnsi="Montserrat Semi Bold"/>
          <w:rtl w:val="0"/>
          <w:lang w:val="de-DE"/>
        </w:rPr>
        <w:t xml:space="preserve">John </w:t>
      </w:r>
      <w:r>
        <w:rPr>
          <w:rFonts w:ascii="Montserrat Semi Bold" w:hAnsi="Montserrat Semi Bold"/>
          <w:rtl w:val="0"/>
          <w:lang w:val="en-US"/>
        </w:rPr>
        <w:t>6:59-63</w:t>
      </w:r>
    </w:p>
    <w:p>
      <w:pPr>
        <w:pStyle w:val="Default"/>
        <w:spacing w:after="0" w:line="280" w:lineRule="atLeast"/>
        <w:jc w:val="left"/>
      </w:pPr>
    </w:p>
    <w:p>
      <w:pPr>
        <w:pStyle w:val="Default"/>
        <w:numPr>
          <w:ilvl w:val="0"/>
          <w:numId w:val="1"/>
        </w:numPr>
        <w:spacing w:after="0" w:line="20" w:lineRule="atLeast"/>
        <w:jc w:val="left"/>
        <w:rPr>
          <w:lang w:val="en-US"/>
        </w:rPr>
      </w:pPr>
      <w:r>
        <w:rPr>
          <w:rtl w:val="0"/>
          <w:lang w:val="en-US"/>
        </w:rPr>
        <w:t>Thinking back on this week</w:t>
      </w:r>
      <w:r>
        <w:rPr>
          <w:rtl w:val="0"/>
          <w:lang w:val="en-US"/>
        </w:rPr>
        <w:t>’</w:t>
      </w:r>
      <w:r>
        <w:rPr>
          <w:rtl w:val="0"/>
          <w:lang w:val="en-US"/>
        </w:rPr>
        <w:t>s sermon, was there anything you heard for the first time or that caught your attention, challenged, or confused you?</w:t>
      </w:r>
      <w:r>
        <w:rPr>
          <w:rtl w:val="0"/>
          <w:lang w:val="en-US"/>
        </w:rPr>
        <w:t> </w:t>
      </w:r>
    </w:p>
    <w:p>
      <w:pPr>
        <w:pStyle w:val="Default"/>
        <w:spacing w:after="0" w:line="20" w:lineRule="atLeast"/>
        <w:jc w:val="left"/>
      </w:pPr>
    </w:p>
    <w:p>
      <w:pPr>
        <w:pStyle w:val="Default"/>
        <w:spacing w:after="0" w:line="20" w:lineRule="atLeast"/>
        <w:jc w:val="left"/>
        <w:rPr>
          <w:sz w:val="30"/>
          <w:szCs w:val="30"/>
        </w:rPr>
      </w:pPr>
    </w:p>
    <w:p>
      <w:pPr>
        <w:pStyle w:val="Default"/>
        <w:numPr>
          <w:ilvl w:val="0"/>
          <w:numId w:val="1"/>
        </w:numPr>
        <w:spacing w:after="0" w:line="20" w:lineRule="atLeast"/>
        <w:jc w:val="left"/>
        <w:rPr>
          <w:lang w:val="en-US"/>
        </w:rPr>
      </w:pPr>
      <w:r>
        <w:rPr>
          <w:rtl w:val="0"/>
          <w:lang w:val="en-US"/>
        </w:rPr>
        <w:t>Reread John 6:26-58.</w:t>
      </w:r>
      <w:r>
        <w:rPr>
          <w:rtl w:val="0"/>
          <w:lang w:val="en-US"/>
        </w:rPr>
        <w:t xml:space="preserve">  </w:t>
      </w:r>
      <w:r>
        <w:rPr>
          <w:rtl w:val="0"/>
          <w:lang w:val="en-US"/>
        </w:rPr>
        <w:t>What, if any, of the things that Jesus says do you find difficult to hear, believe, or apply?</w:t>
      </w:r>
      <w:r>
        <w:rPr>
          <w:rtl w:val="0"/>
          <w:lang w:val="en-US"/>
        </w:rPr>
        <w:t>  </w:t>
      </w:r>
    </w:p>
    <w:p>
      <w:pPr>
        <w:pStyle w:val="Default"/>
        <w:spacing w:after="0" w:line="20" w:lineRule="atLeast"/>
        <w:jc w:val="left"/>
      </w:pPr>
    </w:p>
    <w:p>
      <w:pPr>
        <w:pStyle w:val="Default"/>
        <w:spacing w:after="0" w:line="20" w:lineRule="atLeast"/>
        <w:jc w:val="left"/>
        <w:rPr>
          <w:sz w:val="30"/>
          <w:szCs w:val="30"/>
        </w:rPr>
      </w:pPr>
    </w:p>
    <w:p>
      <w:pPr>
        <w:pStyle w:val="Default"/>
        <w:numPr>
          <w:ilvl w:val="0"/>
          <w:numId w:val="1"/>
        </w:numPr>
        <w:spacing w:after="0" w:line="20" w:lineRule="atLeast"/>
        <w:jc w:val="left"/>
        <w:rPr>
          <w:lang w:val="en-US"/>
        </w:rPr>
      </w:pPr>
      <w:r>
        <w:rPr>
          <w:rtl w:val="0"/>
          <w:lang w:val="en-US"/>
        </w:rPr>
        <w:t>Are there other teachings of Scripture that you have found particularly challenging?</w:t>
      </w:r>
      <w:r>
        <w:rPr>
          <w:rtl w:val="0"/>
          <w:lang w:val="en-US"/>
        </w:rPr>
        <w:t xml:space="preserve">  </w:t>
      </w:r>
      <w:r>
        <w:rPr>
          <w:rtl w:val="0"/>
          <w:lang w:val="en-US"/>
        </w:rPr>
        <w:t>How have you resolved these difficulties?</w:t>
      </w:r>
      <w:r>
        <w:rPr>
          <w:rtl w:val="0"/>
          <w:lang w:val="en-US"/>
        </w:rPr>
        <w:t> </w:t>
      </w:r>
    </w:p>
    <w:p>
      <w:pPr>
        <w:pStyle w:val="Default"/>
        <w:spacing w:after="0" w:line="20" w:lineRule="atLeast"/>
        <w:jc w:val="left"/>
      </w:pPr>
    </w:p>
    <w:p>
      <w:pPr>
        <w:pStyle w:val="Default"/>
        <w:spacing w:after="0" w:line="20" w:lineRule="atLeast"/>
        <w:jc w:val="left"/>
        <w:rPr>
          <w:sz w:val="30"/>
          <w:szCs w:val="30"/>
        </w:rPr>
      </w:pPr>
    </w:p>
    <w:p>
      <w:pPr>
        <w:pStyle w:val="Default"/>
        <w:numPr>
          <w:ilvl w:val="0"/>
          <w:numId w:val="1"/>
        </w:numPr>
        <w:spacing w:after="0" w:line="20" w:lineRule="atLeast"/>
        <w:jc w:val="left"/>
        <w:rPr>
          <w:lang w:val="en-US"/>
        </w:rPr>
      </w:pPr>
      <w:r>
        <w:rPr>
          <w:rtl w:val="0"/>
          <w:lang w:val="en-US"/>
        </w:rPr>
        <w:t>To what degree should Christians try to ensure their evangelism is palatable for its audience?</w:t>
      </w:r>
      <w:r>
        <w:rPr>
          <w:rtl w:val="0"/>
          <w:lang w:val="en-US"/>
        </w:rPr>
        <w:t> </w:t>
      </w:r>
    </w:p>
    <w:p>
      <w:pPr>
        <w:pStyle w:val="Default"/>
        <w:spacing w:after="0" w:line="20" w:lineRule="atLeast"/>
        <w:jc w:val="left"/>
      </w:pPr>
    </w:p>
    <w:p>
      <w:pPr>
        <w:pStyle w:val="Default"/>
        <w:spacing w:after="0" w:line="20" w:lineRule="atLeast"/>
        <w:jc w:val="left"/>
        <w:rPr>
          <w:sz w:val="30"/>
          <w:szCs w:val="30"/>
        </w:rPr>
      </w:pPr>
    </w:p>
    <w:p>
      <w:pPr>
        <w:pStyle w:val="Default"/>
        <w:numPr>
          <w:ilvl w:val="0"/>
          <w:numId w:val="1"/>
        </w:numPr>
        <w:spacing w:after="0" w:line="20" w:lineRule="atLeast"/>
        <w:jc w:val="left"/>
        <w:rPr>
          <w:lang w:val="en-US"/>
        </w:rPr>
      </w:pPr>
      <w:r>
        <w:rPr>
          <w:rtl w:val="0"/>
          <w:lang w:val="en-US"/>
        </w:rPr>
        <w:t>Share a time when you tried to share the Gospel but were rejected.</w:t>
      </w:r>
      <w:r>
        <w:rPr>
          <w:rtl w:val="0"/>
          <w:lang w:val="en-US"/>
        </w:rPr>
        <w:t xml:space="preserve">  </w:t>
      </w:r>
      <w:r>
        <w:rPr>
          <w:rtl w:val="0"/>
          <w:lang w:val="en-US"/>
        </w:rPr>
        <w:t>How did that make you feel?</w:t>
      </w:r>
    </w:p>
    <w:p>
      <w:pPr>
        <w:pStyle w:val="Default"/>
        <w:spacing w:after="0" w:line="20" w:lineRule="atLeast"/>
        <w:jc w:val="left"/>
      </w:pPr>
    </w:p>
    <w:p>
      <w:pPr>
        <w:pStyle w:val="Default"/>
        <w:spacing w:after="0" w:line="20" w:lineRule="atLeast"/>
        <w:jc w:val="left"/>
        <w:rPr>
          <w:sz w:val="30"/>
          <w:szCs w:val="30"/>
        </w:rPr>
      </w:pPr>
    </w:p>
    <w:p>
      <w:pPr>
        <w:pStyle w:val="Default"/>
        <w:numPr>
          <w:ilvl w:val="0"/>
          <w:numId w:val="1"/>
        </w:numPr>
        <w:spacing w:after="0" w:line="20" w:lineRule="atLeast"/>
        <w:jc w:val="left"/>
        <w:rPr>
          <w:lang w:val="en-US"/>
        </w:rPr>
      </w:pPr>
      <w:r>
        <w:rPr>
          <w:rtl w:val="0"/>
          <w:lang w:val="en-US"/>
        </w:rPr>
        <w:t>When should a</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tl w:val="0"/>
          <w:lang w:val="en-US"/>
        </w:rPr>
        <w:t xml:space="preserve"> believer be willing to take the answers to questions about their beliefs by faith, and when should they pursue intellectual answers?</w:t>
      </w:r>
    </w:p>
    <w:p>
      <w:pPr>
        <w:pStyle w:val="Default"/>
        <w:spacing w:after="0" w:line="20" w:lineRule="atLeast"/>
        <w:jc w:val="left"/>
      </w:pPr>
    </w:p>
    <w:p>
      <w:pPr>
        <w:pStyle w:val="Default"/>
        <w:spacing w:after="0" w:line="20" w:lineRule="atLeast"/>
        <w:jc w:val="left"/>
        <w:rPr>
          <w:sz w:val="30"/>
          <w:szCs w:val="30"/>
        </w:rPr>
      </w:pPr>
    </w:p>
    <w:p>
      <w:pPr>
        <w:pStyle w:val="Default"/>
        <w:numPr>
          <w:ilvl w:val="0"/>
          <w:numId w:val="1"/>
        </w:numPr>
        <w:spacing w:after="0" w:line="20" w:lineRule="atLeast"/>
        <w:jc w:val="left"/>
        <w:rPr>
          <w:lang w:val="en-US"/>
        </w:rPr>
      </w:pPr>
      <w:r>
        <w:rPr>
          <w:rtl w:val="0"/>
          <w:lang w:val="en-US"/>
        </w:rPr>
        <w:t xml:space="preserve">In verse 63, how do we know whether each mention of the </w:t>
      </w:r>
      <w:r>
        <w:rPr>
          <w:rtl w:val="0"/>
          <w:lang w:val="en-US"/>
        </w:rPr>
        <w:t>“</w:t>
      </w:r>
      <w:r>
        <w:rPr>
          <w:rtl w:val="0"/>
          <w:lang w:val="en-US"/>
        </w:rPr>
        <w:t>spirit</w:t>
      </w:r>
      <w:r>
        <w:rPr>
          <w:rtl w:val="0"/>
          <w:lang w:val="en-US"/>
        </w:rPr>
        <w:t xml:space="preserve">” </w:t>
      </w:r>
      <w:r>
        <w:rPr>
          <w:rtl w:val="0"/>
          <w:lang w:val="en-US"/>
        </w:rPr>
        <w:t>should be taken as the person of the Holy Spirit or a more general spiritual reference?</w:t>
      </w:r>
    </w:p>
    <w:p>
      <w:pPr>
        <w:pStyle w:val="Default"/>
        <w:spacing w:after="0" w:line="20" w:lineRule="atLeast"/>
        <w:jc w:val="left"/>
      </w:pPr>
    </w:p>
    <w:p>
      <w:pPr>
        <w:pStyle w:val="Default"/>
        <w:spacing w:after="0" w:line="20" w:lineRule="atLeast"/>
        <w:jc w:val="left"/>
        <w:rPr>
          <w:sz w:val="30"/>
          <w:szCs w:val="30"/>
        </w:rPr>
      </w:pPr>
    </w:p>
    <w:p>
      <w:pPr>
        <w:pStyle w:val="Default"/>
        <w:numPr>
          <w:ilvl w:val="0"/>
          <w:numId w:val="1"/>
        </w:numPr>
        <w:spacing w:after="0" w:line="20" w:lineRule="atLeast"/>
        <w:jc w:val="left"/>
        <w:rPr>
          <w:lang w:val="en-US"/>
        </w:rPr>
      </w:pPr>
      <w:r>
        <w:rPr>
          <w:rtl w:val="0"/>
          <w:lang w:val="en-US"/>
        </w:rPr>
        <w:t>From verse 63 we know that the pursuit of the flesh does not produce spiritual fruit.</w:t>
      </w:r>
      <w:r>
        <w:rPr>
          <w:rtl w:val="0"/>
          <w:lang w:val="en-US"/>
        </w:rPr>
        <w:t xml:space="preserve">  </w:t>
      </w:r>
      <w:r>
        <w:rPr>
          <w:rtl w:val="0"/>
          <w:lang w:val="en-US"/>
        </w:rPr>
        <w:t>Does the pursuit of the spirit ever produce fleshly fruit?</w:t>
      </w:r>
      <w:r>
        <w:rPr>
          <w:rtl w:val="0"/>
          <w:lang w:val="en-US"/>
        </w:rPr>
        <w:t xml:space="preserve">  </w:t>
      </w:r>
      <w:r>
        <w:rPr>
          <w:rtl w:val="0"/>
          <w:lang w:val="en-US"/>
        </w:rPr>
        <w:t>Why or why not?</w:t>
      </w:r>
    </w:p>
    <w:p>
      <w:pPr>
        <w:pStyle w:val="Default"/>
        <w:spacing w:after="0" w:line="20" w:lineRule="atLeast"/>
        <w:jc w:val="left"/>
      </w:pPr>
    </w:p>
    <w:p>
      <w:pPr>
        <w:pStyle w:val="Default"/>
        <w:spacing w:after="0" w:line="20" w:lineRule="atLeast"/>
        <w:jc w:val="left"/>
        <w:rPr>
          <w:sz w:val="30"/>
          <w:szCs w:val="30"/>
        </w:rPr>
      </w:pPr>
    </w:p>
    <w:p>
      <w:pPr>
        <w:pStyle w:val="Default"/>
        <w:numPr>
          <w:ilvl w:val="0"/>
          <w:numId w:val="1"/>
        </w:numPr>
        <w:spacing w:after="0" w:line="20" w:lineRule="atLeast"/>
        <w:jc w:val="left"/>
        <w:rPr>
          <w:lang w:val="en-US"/>
        </w:rPr>
      </w:pPr>
      <w:r>
        <w:rPr>
          <w:rtl w:val="0"/>
          <w:lang w:val="en-US"/>
        </w:rPr>
        <w:t xml:space="preserve">How would you summarize the words that Jesus has spoken (referenced in verse 63, but going back through verse 52), the message of which is so important that He calls it </w:t>
      </w:r>
      <w:r>
        <w:rPr>
          <w:rtl w:val="0"/>
          <w:lang w:val="en-US"/>
        </w:rPr>
        <w:t>“</w:t>
      </w:r>
      <w:r>
        <w:rPr>
          <w:rtl w:val="0"/>
          <w:lang w:val="en-US"/>
        </w:rPr>
        <w:t>spirit and life</w:t>
      </w:r>
      <w:r>
        <w:rPr>
          <w:rtl w:val="0"/>
          <w:lang w:val="en-US"/>
        </w:rPr>
        <w:t>”</w:t>
      </w:r>
      <w:r>
        <w:rPr>
          <w:rtl w:val="0"/>
          <w:lang w:val="en-US"/>
        </w:rPr>
        <w:t>?</w:t>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