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13:31-35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A derivative of the word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glory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is used five times in two verses (31 and 32). In this context, how would you define glory?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In verse 33 Jesus told His disciples that he was going away, and that where He was going they could not follow. Have you ever left, or been left by, a significant role-model in your life? What impact, good or bad, did this have on your life?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is the standard Jesus sets for how His followers are to love one another in verse 34? Use 4 descriptive words or phrases to describe the kind of love Jesus is referring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 xml:space="preserve"> to (bonus points for scriptural citations).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Using a scale from 1 to 10 (where 1 is terrible and 10 is amazing) how would you rate the following groups of people in their love for one another: Christians as a whole; Valley Bible Church; you personally? How do you think the unbelieving world would rate them? Why?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kinds of things are necessary to lead a life of love towards other believers? For example, believers need to be in fellowship with other believers to have the opportunity to love.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Tell about a time when the love of a believer profoundly impacted your life.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Is there anything that you need to repent for, or ask forgiveness for, considering what we have learned this week about the command to love?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