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John: The Gospel of Light and Life, </w:t>
      </w:r>
      <w:r>
        <w:rPr>
          <w:rFonts w:ascii="Montserrat SemiBold" w:hAnsi="Montserrat SemiBold"/>
          <w:rtl w:val="0"/>
          <w:lang w:val="en-US"/>
        </w:rPr>
        <w:t>20:24-29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What was your biggest barrier to becoming a believer? How did God overcome that barrier?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Jesus said,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peace be with you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verses 19 and 21, and now again in verse 26. What, if anything, changes about the meaning or emphasis of the word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peace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throughout these uses? 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What meaningful difference is there between ascribing Jesus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Lord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28)?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 xml:space="preserve">When Jesus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Blessed are those who did n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ot see, and yet believed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29), does that mean there is something we gain by faith without proof, or miss out on because of faith proven by circumstance? Why or why not?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If Jesus had not given Thomas the opportunity to see His wounds would Thomas have been responsible for his unbelief? Why or why not?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As believers, what sorts of doubt is it ok to have? When do doubts become sinful? See Psalm 13 and Job 10 for scriptural examples of men who doubt.</w:t>
      </w:r>
    </w:p>
    <w:p>
      <w:pPr>
        <w:pStyle w:val="LG Number Questions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Is there anything that is causing you to doubt or struggle in your faith right now? Take time to pray for and discuss these things as a group.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