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hAnsi="Montserrat SemiBold"/>
          <w:rtl w:val="0"/>
        </w:rPr>
      </w:pPr>
    </w:p>
    <w:p>
      <w:pPr>
        <w:pStyle w:val="Heading"/>
        <w:bidi w:val="0"/>
      </w:pPr>
      <w:r>
        <w:rPr>
          <w:rtl w:val="0"/>
        </w:rPr>
        <w:t>Truth for the Troubled Church</w:t>
      </w:r>
    </w:p>
    <w:p>
      <w:pPr>
        <w:pStyle w:val="Heading"/>
        <w:bidi w:val="0"/>
      </w:pPr>
      <w:r>
        <w:rPr>
          <w:rtl w:val="0"/>
        </w:rPr>
        <w:t xml:space="preserve">1 </w:t>
      </w:r>
      <w:r>
        <w:rPr>
          <w:rtl w:val="0"/>
        </w:rPr>
        <w:t xml:space="preserve">Corinthians: </w:t>
      </w:r>
      <w:r>
        <w:rPr>
          <w:rtl w:val="0"/>
        </w:rPr>
        <w:t>3:16-23</w:t>
      </w:r>
    </w:p>
    <w:p>
      <w:pPr>
        <w:pStyle w:val="Default"/>
        <w:spacing w:after="0" w:line="280" w:lineRule="atLeast"/>
        <w:jc w:val="left"/>
      </w:pP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What evidence would you point to in support of Paul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claim in verse 16 that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Spirit of God dwells in you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you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verse 16 refers to the group of believers who were the church at Corinth, who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are a temple of God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. What is unique and special about a temple which makes being a temple meaningful to a church like VBC? 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Verse 17 has warnings for someone who destroys the temple of God. In what way can the temple of God be destroyed, and how can we (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as an individual, Life Group, or church) guard against that happening?</w:t>
      </w:r>
    </w:p>
    <w:p>
      <w:pPr>
        <w:pStyle w:val="LG Number Questions"/>
        <w:numPr>
          <w:ilvl w:val="0"/>
          <w:numId w:val="2"/>
        </w:numPr>
        <w:spacing w:after="720"/>
        <w:rPr>
          <w:spacing w:val="-1"/>
          <w:lang w:val="en-US"/>
        </w:rPr>
      </w:pPr>
      <w:r>
        <w:rPr>
          <w:spacing w:val="-1"/>
          <w:rtl w:val="0"/>
          <w:lang w:val="en-US"/>
        </w:rPr>
        <w:t xml:space="preserve">What does it look like for a Christian who is </w:t>
      </w:r>
      <w:r>
        <w:rPr>
          <w:spacing w:val="-1"/>
          <w:rtl w:val="0"/>
          <w:lang w:val="en-US"/>
        </w:rPr>
        <w:t>“</w:t>
      </w:r>
      <w:r>
        <w:rPr>
          <w:spacing w:val="-1"/>
          <w:rtl w:val="0"/>
          <w:lang w:val="en-US"/>
        </w:rPr>
        <w:t>wise in this age</w:t>
      </w:r>
      <w:r>
        <w:rPr>
          <w:spacing w:val="-1"/>
          <w:rtl w:val="0"/>
          <w:lang w:val="en-US"/>
        </w:rPr>
        <w:t xml:space="preserve">” </w:t>
      </w:r>
      <w:r>
        <w:rPr>
          <w:spacing w:val="-1"/>
          <w:rtl w:val="0"/>
          <w:lang w:val="en-US"/>
        </w:rPr>
        <w:t xml:space="preserve">to </w:t>
      </w:r>
      <w:r>
        <w:rPr>
          <w:spacing w:val="-1"/>
          <w:rtl w:val="0"/>
          <w:lang w:val="en-US"/>
        </w:rPr>
        <w:t>“</w:t>
      </w:r>
      <w:r>
        <w:rPr>
          <w:spacing w:val="-1"/>
          <w:rtl w:val="0"/>
          <w:lang w:val="en-US"/>
        </w:rPr>
        <w:t>become foolish</w:t>
      </w:r>
      <w:r>
        <w:rPr>
          <w:spacing w:val="-1"/>
          <w:rtl w:val="0"/>
          <w:lang w:val="en-US"/>
        </w:rPr>
        <w:t xml:space="preserve">” </w:t>
      </w:r>
      <w:r>
        <w:rPr>
          <w:spacing w:val="-1"/>
          <w:rtl w:val="0"/>
          <w:lang w:val="en-US"/>
        </w:rPr>
        <w:t>(vs 18)?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How would you explain Paul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teaching that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all things belong to you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 verse 22 to an unbeliever who asks what it means?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>I</w:t>
      </w:r>
      <w:r>
        <w:rPr>
          <w:spacing w:val="-1"/>
          <w:rtl w:val="0"/>
          <w:lang w:val="en-US"/>
        </w:rPr>
        <w:t>n verse 23 Paul says that we belong to Christ, who belongs to God. As one who represents God, what message(s) about Him have your actions conveyed this week?</w:t>
      </w:r>
    </w:p>
    <w:p>
      <w:pPr>
        <w:pStyle w:val="LG Number Questions"/>
        <w:numPr>
          <w:ilvl w:val="0"/>
          <w:numId w:val="2"/>
        </w:numPr>
        <w:spacing w:after="720"/>
        <w:rPr>
          <w:lang w:val="en-US"/>
        </w:rPr>
      </w:pPr>
      <w:r>
        <w:rPr>
          <w:rtl w:val="0"/>
          <w:lang w:val="en-US"/>
        </w:rPr>
        <w:t xml:space="preserve">Paul says that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all things belong to you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(vs 21) and that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you belong to Christ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23). Use those two concepts to come up with a working definition of Christian liberty. Why is that definition important today?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left"/>
      <w:outlineLvl w:val="9"/>
    </w:pPr>
    <w:rPr>
      <w:rFonts w:ascii="Montserrat SemiBold" w:cs="Arial Unicode MS" w:hAnsi="Montserrat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Montserrat Light" w:hAnsi="Montserrat Light" w:eastAsia="Montserrat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G Number Questions">
    <w:name w:val="LG Number Questions"/>
    <w:next w:val="LG Number Question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68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