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 xml:space="preserve">Corinthians: </w:t>
      </w:r>
      <w:r>
        <w:rPr>
          <w:rtl w:val="0"/>
        </w:rPr>
        <w:t>4:1-7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Use passages like Luke 12:42-46, Titus 1:7-10, and 1 Peter 4:10 to come up with a definition for biblical stewardship.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What are the primary areas of service and stewardship (vs 1) God has given you in this season of life?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What effects are there when we are poor servants and stewards? Be as specific as you can.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Can someone who has once been found NOT to be trustworthy (vs 2) ever become trustworthy again? How, or why?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What would need to change in your life, if anything, for you to be as unafraid of examination by other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s as Paul seems to be in verses 3 and 4? Why?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 xml:space="preserve">In verse 4 Paul says that it is the Lord who will examine him. Would it be accurate for the Corinthians say the same thing to Paul? For example, could they say,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have to listen to your correction, Paul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examined only by God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Paul talks about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judgment of heart motivations in verse 5. Is it possible for an action to become right or wrong because of its motivations? Why?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 xml:space="preserve">We now refer to the completed revelation of God in Scripture, but when Paul spoke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is written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6) what was he referring to?</w:t>
      </w:r>
    </w:p>
    <w:p>
      <w:pPr>
        <w:pStyle w:val="LG Number Questions"/>
        <w:numPr>
          <w:ilvl w:val="0"/>
          <w:numId w:val="2"/>
        </w:numPr>
        <w:spacing w:after="640"/>
        <w:rPr>
          <w:lang w:val="en-US"/>
        </w:rPr>
      </w:pPr>
      <w:r>
        <w:rPr>
          <w:rtl w:val="0"/>
          <w:lang w:val="en-US"/>
        </w:rPr>
        <w:t>What are some signs that an appropriate and motivating recognition of gifts or talents has become boasting, as referred to by Paul in verse 7?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